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2024/36 vom 30. April 2025</w:t>
      </w:r>
    </w:p>
    <w:p>
      <w:r>
        <w:t>Sg Versicherungsgericht, 2025-04-30, DE</w:t>
      </w:r>
    </w:p>
    <w:p>
      <w:r>
        <w:rPr>
          <w:b/>
        </w:rPr>
        <w:t xml:space="preserve">Quelle: </w:t>
      </w:r>
      <w:r>
        <w:t>https://mcp.opencaselaw.ch/entscheid/sg_publikationen_EL 2024_36</w:t>
      </w:r>
    </w:p>
    <w:p>
      <w:r>
        <w:t>FR: SG_VERSICHERUNGSGERICHT EL 2024/36 du 30 avril 2025</w:t>
      </w:r>
    </w:p>
    <w:p>
      <w:r>
        <w:t>IT: SG_VERSICHERUNGSGERICHT EL 2024/36 del 30 aprile 2025</w:t>
      </w:r>
    </w:p>
    <w:p>
      <w:pPr>
        <w:pStyle w:val="Heading2"/>
      </w:pPr>
      <w:r>
        <w:t>Regeste</w:t>
      </w:r>
    </w:p>
    <w:p>
      <w:r>
        <w:t>Art. 16a ELG. Art. 49 Abs. 2 ATSG. Rückforderung von rechtmässig bezogenen Ergänzungsleistungen. Ausgeschlagene Erbschaft. Nachlassvermögen respektive Konkursmasse als Verfügungsadressat? Feststellung bezüglich der Parteistellung (Entscheid des Versicherungsgerichts des Kantons St. Gallen vom 30. April 2025, EL 2024/36).</w:t>
      </w:r>
    </w:p>
    <w:p>
      <w:pPr>
        <w:pStyle w:val="Heading2"/>
      </w:pPr>
      <w:r>
        <w:t>Erwägungen</w:t>
      </w:r>
    </w:p>
    <w:p>
      <w:r>
        <w:rPr>
          <w:b/>
        </w:rPr>
        <w:t>E. 1</w:t>
      </w:r>
    </w:p>
    <w:p>
      <w:r>
        <w:t>Die angefochtene Verfügung beinhaltet zwei Entscheide, nämlich zum einen die Feststellung, dass der Konkursmasse des EL-Ansprechers eine Parteistellung zukomme, und zum andern die Sistierung des Einspracheverfahrens betreffend die Verfügung vom 8 . Dezember 2023. Diese beiden Gegenstände sind voneinander unabhängig, weshalb es der Beschwe rdeführerin frei gestanden hat, die Verfügung vom 19. September 2024 nur bezüglich eines der beiden Gegenstände anzufechten. Die Beschwerde richtet sich nicht gegen die Sistierung des Einspra cheverfahrens betreffend die Verfügung vom 8. Dezember 2023, was bedeutet, dass die Verfügung vom 19. September 2024 diesbezüglich EL 2024/36 3/6</w:t>
      </w:r>
    </w:p>
    <w:p>
      <w:r>
        <w:t>unangefochten in formelle Rechtskraft erwachsen ist . Die Sistierung des Einspracheverfahrens betreffend die Verfügung vom 8. Dezember 2023 gehör t folglich nicht zum Gegenstand dieses Beschwerdeverfahrens. Gegenstand dieses Beschwerdev erfahrens bildet also ausschliesslich die Feststellung, dass der Konkursmasse des EL-Ansprechers eine Parteistellung zukomme. Auf die nicht zu diesem Gegenstand gehörenden Anträge der Beschwerdeführerin, nämlich das Absehen von einer Rückforderung sowie die Auszahlung der Ergänzungsle istungen von 4’360 Franken gemäss der Verfügung vom 30. November 2023, kann deshalb nicht eingetreten werden.</w:t>
      </w:r>
    </w:p>
    <w:p>
      <w:r>
        <w:rPr>
          <w:b/>
        </w:rPr>
        <w:t>E. 2.1</w:t>
      </w:r>
    </w:p>
    <w:p>
      <w:r>
        <w:t>Die Beschwerdegegnerin hat ihre Verfügung vom 19. S eptember 2024 ausdrücklich als eine verfahrensleitende Verfügung bezeichnet. Bezüglich der Sistierung des Einspracheverfahrens ist die Verfügung vom 19. September 2024 denn auch offenkun dig eine typische Z wischenverfügung gewesen. Bezüglich der hier zu prüfenden Feststellu ng, dass der Beschwerdeführerin Parteistellung zukomme, kann sie dagegen keine verfahrensleitende Verfügung gewesen sein, denn die Beschwerdegegnerin hat der Beschwerdeführerin augen scheinlich nicht (nur) für die Dauer des Einspracheverfahrens eine Parteistellung zuweisen, sondern vielmehr die Frage definitiv beantworten wollen, ob es rechtmässig gewesen sei, die Verfügung vom 8. Dezember 2023 der Beschwerdeführerin zu eröffnen. Es wäre nämlich unsinnig gewesen, der Beschwerdeführerin nur für die Dauer des Einspracheverfahrens eine Parteistellung zuzuweisen, wenn dieses Einspracheverfahren zugleich bis zum Abschluss des Konkursverfahrens und damit notwe ndigerweise bis zum dadurch bewirkten Untergang der Beschwerdeführerin sistiert werden sollte. Zudem hat kein dringender Handlungsbedarf bestanden, der den Erlass einer vorsorglichen Verfü gung betreffend die Parteistellung der Beschwerdeführerin im Einspracheverfahren erfordert hätte, was auch der Beschwerdegegnerin bewusst gewesen sein muss. Bezüglich der hier zu üb erprüfenden Feststellung ist die angefochtene Verfügung also eindeutig keine verfahrensleitende Verfügung gewesen.</w:t>
      </w:r>
    </w:p>
    <w:p>
      <w:r>
        <w:rPr>
          <w:b/>
        </w:rPr>
        <w:t>E. 2.2</w:t>
      </w:r>
    </w:p>
    <w:p>
      <w:r>
        <w:t>Mit ihrer Feststellung, dass der Beschwerdeführerin für das gesamte Verwaltungsverfahren einschliesslich des Einspracheverfahrens betreffend die Verfügung vom 8. Dezember 2023 Parteistellung zukomme, hat die Beschwerdegegnerin ein wesentliches Element des noch zu erlassenden Einspracheentscheides vorwegnehmen wollen. Das ist typisch für Feststellungen im Sinne des Art. 49 Abs. 2 ATSG, denn das Wesen einer Fests tellungsverfügung besteht darin, nur ein einzelnes Sachverhaltselement unter ein einzelnes T atbestandselement und nicht, wie es typisch für eine rechtsgestaltende Verfügung wäre, den gesamten Sachverhalt unter den gesamten gesetzlichen Tatbestand zu subsumieren, was notwendigerweise ein e entsprechende Rechtsfolgeanordnung mit sich ziehen würde. Selbstverständlich kann ein Teil jener Subsumtion, die in einem Einspracheentscheid durchzuführen wäre, nicht in ei ne Verfügung „ausgelagert“ werden. Wenn dies überhaupt zulässig wäre, was wohl kaum je der Fall sein dürfte, müsste eine solche Feststellung in der EL 2024/36 4/6</w:t>
      </w:r>
    </w:p>
    <w:p>
      <w:r>
        <w:t>Form eines Einspracheentscheides eröffnet werden, weil es sich dabei ja um eine „Tei-lSubsumtion“ im hängigen Einspracheverfahren handeln würde. Die Bes chwerdegegnerin dürfte irrtümlich davon ausgegangen sein, dass jeder Entscheid, der das Ein spracheverfahren (noch) nicht abschliesst, ein verfahrensleitender Entscheid sein müsse, weshalb sie wohl angenommen hat, dass ihre Feststellung bezüglich der Parteistellung der Beschwerdeführerin verfahrensleitender Natur sei. Wäre ihr bewusst gewesen, dass die von ihr definitiv gemeinte Festst ellung eine Vorwegnahme eines Teil des Einspracheentscheides gewesen ist, hätte sie sie in der Form eines (ersten Teil -) Einspracheentscheides eröffnet. Überwiegend wahrsch einlich hat die Beschwerdegegnerin also lediglich versehentlich die falsche Form für die Er öffnung ihrer Feststellung gewählt. Das schadet allerdings nicht, weil der Einspracheteilentscheid, in dem die Feststellung hätte eröffnet werden müssen, mit einer Beschwerde beim Versicherungsgericht des Kantons St. Gallen hätte angefochten werden müssen. Die Rechtmässigkeit der Feststellung bezüglich der Parteistellung der Beschwerdeführerin kann also ungeachtet der rechtsfehlerhaften Form ihrer Eröffnung direkt in diesem Beschwerdeverfahren überprüft werden.</w:t>
      </w:r>
    </w:p>
    <w:p>
      <w:r>
        <w:rPr>
          <w:b/>
        </w:rPr>
        <w:t>E. 2.3</w:t>
      </w:r>
    </w:p>
    <w:p>
      <w:r>
        <w:t>Eine Feststellung im Sinne des Art. 49 Abs. 2 ATSG setzt ein schützenswertes Feststellungsinteresse voraus. Ein solches ist hier offenkundig nicht gegeben. Wäre die Parteistellung der Beschwerdeführerin zu verneinen, hätte die Besc hwerdegegnerin die Einsprache gutheissen und die Verfügung vom 8. Dezember 2023 direkt rechtsges taltend aufheben sowie durch eine richtig adressierte Verfügung ersetzen müssen, denn auch eine Person, die nicht Verfügungsadressatin sein kann, muss gegen eine entsprechende falsche Verfügu ng Einsprache erheben können. Wäre die Parteistellung dagegen zu bejahen, hätte die Beschwerdeführerin das Einspracheverfahren fortsetzen können, ohne erst die Frage nach der Parteistellung der Beschwerdeführerin beantworten zu müssen. Ein Grund, der zur vorgängigen, rein feststellenden Beantwortung d er Frage nach der Parteistellung der Beschwerdeführerin gezwungen hätte, ist nicht zu erkennen. Die hier zu überprüfende Feststellung ist also unnötig gewesen, weshalb kein schutzwürdiges Feststellungsinteresse daran bestanden haben kann. Damit erweist sie sich aber als rechtswidrig, weshalb sie ersatzlos aufzuheben ist.</w:t>
      </w:r>
    </w:p>
    <w:p>
      <w:r>
        <w:rPr>
          <w:b/>
        </w:rPr>
        <w:t>E. 3</w:t>
      </w:r>
    </w:p>
    <w:p>
      <w:r>
        <w:t>Bezüglich der Feststellung, dass der Beschwerdeführerin Parteistellung zukomme, wird die Verfügung vom 19. September 2024 aufgehoben.</w:t>
      </w:r>
    </w:p>
    <w:p>
      <w:r>
        <w:rPr>
          <w:b/>
        </w:rPr>
        <w:t>E. 4</w:t>
      </w:r>
    </w:p>
    <w:p>
      <w:r>
        <w:t>Es werden keine Gerichtskosten erhoben.</w:t>
      </w:r>
    </w:p>
    <w:p>
      <w:r>
        <w:rPr>
          <w:b/>
        </w:rPr>
        <w:t>E. 5</w:t>
      </w:r>
    </w:p>
    <w:p>
      <w:r>
        <w:t>Die Beschwerdegegnerin hat die Beschwerdeführerin mit 2’000 Franken zu entschädigen. EL 2024/36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